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水文与水资源工程专业带头人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荆燕燕，女，</w:t>
      </w:r>
      <w:r>
        <w:rPr>
          <w:rFonts w:hint="eastAsia"/>
          <w:sz w:val="24"/>
          <w:szCs w:val="24"/>
          <w:lang w:val="en-US" w:eastAsia="zh-CN"/>
        </w:rPr>
        <w:t>1990.04，硕士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/>
          <w:sz w:val="24"/>
          <w:szCs w:val="24"/>
          <w:lang w:val="en-US" w:eastAsia="zh-CN"/>
        </w:rPr>
        <w:t>学位，水利工程系讲师，主修专业为</w:t>
      </w:r>
      <w:r>
        <w:rPr>
          <w:rFonts w:hint="eastAsia"/>
          <w:sz w:val="24"/>
          <w:szCs w:val="24"/>
          <w:lang w:eastAsia="zh-CN"/>
        </w:rPr>
        <w:t>水文与水资源工程。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研究成果有5篇高水平学术论文，有《农业水利工程施工质量管理控制要点》、《可持续发展理念下我国农业水利基础设施建设对策》和《城市设计暴雨雨型的推求级应用》等。并参编教材《水文信息测报与整编》和《水资源规划与管理》，受到广大师生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讲水资源规划与管理、水文预报、水文学原理、水文测验学、水资源评价、气象学等课程，年均课时量400多课时，曾获得河南省中等职业学校教学优质课评学三等奖、第十三届全国水利职业院校“巴渝杯”技能大赛水文勘测技术项目优秀指导教师等荣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2CFA"/>
    <w:rsid w:val="1D6A2CFA"/>
    <w:rsid w:val="472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2022-03-10T08:48:00Z</dcterms:created>
  <dc:creator>度</dc:creator>
  <cp:lastModifiedBy>度</cp:lastModifiedBy>
  <dcterms:modified xsi:type="dcterms:W3CDTF">2022-03-10T08:53:56Z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9E5883107A5C4653BCE6582DFF7C2667</vt:lpwstr>
  </property>
</Properties>
</file>